
<file path=[Content_Types].xml><?xml version="1.0" encoding="utf-8"?>
<Types xmlns="http://schemas.openxmlformats.org/package/2006/content-types">
  <Default Extension="png" ContentType="image/png"/>
  <Default Extension="xml" ContentType="application/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media/image1.png" ContentType="image/png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wp="http://schemas.openxmlformats.org/drawingml/2006/wordprocessingDrawing" xmlns:wpg="http://schemas.microsoft.com/office/word/2010/wordprocessingGroup" xmlns:v="urn:schemas-microsoft-com:vml" xmlns:wp14="http://schemas.microsoft.com/office/word/2010/wordprocessingDrawing" xmlns:pic="http://schemas.openxmlformats.org/drawingml/2006/picture" xmlns:mc="http://schemas.openxmlformats.org/markup-compatibility/2006" xmlns:w14="http://schemas.microsoft.com/office/word/2010/wordml" xmlns:m="http://schemas.openxmlformats.org/officeDocument/2006/math" xmlns:w10="urn:schemas-microsoft-com:office:word" xmlns:wpi="http://schemas.microsoft.com/office/word/2010/wordprocessingInk" xmlns:wpsCustomData="http://www.wps.cn/officeDocument/2013/wpsCustomData" xmlns:w="http://schemas.openxmlformats.org/wordprocessingml/2006/main" xmlns:o="urn:schemas-microsoft-com:office:office" xmlns:wps="http://schemas.microsoft.com/office/word/2010/wordprocessingShape" xmlns:r="http://schemas.openxmlformats.org/officeDocument/2006/relationships" xmlns:a="http://schemas.openxmlformats.org/drawingml/2006/main" mc:Ignorable="w14 wp14">
  <w:body>
    <w:tbl>
      <w:tblPr>
        <w:tblW w:w="10490" w:type="dxa"/>
        <w:tblInd w:type="dxa" w:w="0"/>
        <w:tblLook w:noVBand="1" w:noHBand="0" w:lastColumn="0" w:firstColumn="1" w:lastRow="0" w:firstRow="1" w:val="04A0"/>
      </w:tblPr>
      <w:tblGrid>
        <w:gridCol w:w="10466"/>
      </w:tblGrid>
      <w:tr>
        <w:trPr>
          <w:trHeight w:val="105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/>
              </w:rPr>
              <w:jc w:val="left"/>
            </w:pPr>
            <w:r>
              <w:rPr>
                <w:noProof/>
                <w:kern w:val="0"/>
                <w:sz w:val="24"/>
                <w:szCs w:val="24"/>
                <w:rFonts w:ascii="宋体" w:hAnsi="宋体" w:eastAsia="宋体" w:cs="宋体"/>
              </w:rPr>
              <w:drawing>
                <wp:anchor distT="0" distB="0" distL="0" distR="0" simplePos="0" relativeHeight="2" behindDoc="0" locked="0" layoutInCell="1" allowOverlap="1">
                  <wp:simplePos y="0" x="0"/>
                  <wp:positionH relativeFrom="column">
                    <wp:posOffset>53339</wp:posOffset>
                  </wp:positionH>
                  <wp:positionV relativeFrom="paragraph">
                    <wp:posOffset>30480</wp:posOffset>
                  </wp:positionV>
                  <wp:extent cy="579120" cx="2644140"/>
                  <wp:effectExtent b="0" r="0" t="0" l="0"/>
                  <wp:wrapNone/>
                  <wp:docPr id="1" name="图片 2082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" name="图片 2082"/>
                          <pic:cNvPicPr/>
                        </pic:nvPicPr>
                        <pic:blipFill>
                          <a:blip r:embed="rId4" cstate="print"/>
                          <a:srcRect l="0" t="0" r="0" b="0"/>
                          <a:stretch/>
                        </pic:blipFill>
                        <pic:spPr>
                          <a:xfrm>
                            <a:off y="0" x="0"/>
                            <a:ext cy="579120" cx="2644140"/>
                          </a:xfrm>
                          <a:prstGeom prst="rect"/>
                          <a:ln w="12700"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type="dxa" w:w="0"/>
              <w:tblInd w:type="dxa" w:w="0"/>
              <w:tblCellMar>
                <w:top w:type="dxa" w:w="0"/>
                <w:bottom w:type="dxa" w:w="0"/>
                <w:left w:type="dxa" w:w="0"/>
                <w:right w:type="dxa" w:w="0"/>
              </w:tblCellMar>
              <w:tblLook w:noVBand="1" w:noHBand="0" w:lastColumn="0" w:firstColumn="1" w:lastRow="0" w:firstRow="1" w:val="04A0"/>
            </w:tblPr>
            <w:tblGrid>
              <w:gridCol w:w="9860"/>
            </w:tblGrid>
            <w:tr>
              <w:trPr>
                <w:trHeight w:val="1050" w:hRule="atLeast"/>
                <w:tblCellSpacing w:type="dxa" w:w="0"/>
              </w:trPr>
              <w:tc>
                <w:tcPr>
                  <w:tcW w:w="9860" w:type="dxa"/>
                  <w:vAlign w:val="bottom"/>
                  <w:tcBorders>
                    <w:top w:val="nil" w:shadow="off" w:frame="off"/>
                    <w:left w:val="nil" w:shadow="off" w:frame="off"/>
                    <w:bottom w:val="nil" w:shadow="off" w:frame="off"/>
                    <w:right w:val="nil" w:shadow="off" w:frame="off"/>
                  </w:tcBorders>
                  <w:shd w:val="clear" w:color="auto" w:fill="auto"/>
                  <w:noWrap/>
                  <w:hideMark/>
                </w:tcPr>
                <w:p>
                  <w:pPr>
                    <w:pStyle w:val="style0"/>
                    <w:rPr>
                      <w:kern w:val="0"/>
                      <w:sz w:val="24"/>
                      <w:szCs w:val="24"/>
                      <w:rFonts w:ascii="宋体" w:hAnsi="宋体" w:eastAsia="宋体" w:cs="宋体"/>
                    </w:rPr>
                    <w:jc w:val="left"/>
                  </w:pPr>
                </w:p>
              </w:tc>
            </w:tr>
          </w:tbl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/>
              </w:rPr>
              <w:jc w:val="left"/>
            </w:pPr>
          </w:p>
        </w:tc>
      </w:tr>
      <w:tr>
        <w:tblPrEx/>
        <w:trPr>
          <w:trHeight w:val="312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left"/>
            </w:pPr>
          </w:p>
        </w:tc>
      </w:tr>
      <w:tr>
        <w:tblPrEx/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left"/>
            </w:pPr>
          </w:p>
        </w:tc>
      </w:tr>
      <w:tr>
        <w:tblPrEx/>
        <w:trPr>
          <w:trHeight w:val="90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 xml:space="preserve">       2022 — 2023学年第二学期</w:t>
            </w:r>
          </w:p>
        </w:tc>
      </w:tr>
      <w:tr>
        <w:tblPrEx/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/>
              </w:rPr>
              <w:jc w:val="center"/>
            </w:pPr>
            <w:r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      舞蹈   </w:t>
            </w:r>
            <w: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教学计划</w:t>
            </w:r>
          </w:p>
        </w:tc>
      </w:tr>
      <w:tr>
        <w:tblPrEx/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/>
              </w:rPr>
              <w:jc w:val="center"/>
            </w:pPr>
          </w:p>
        </w:tc>
      </w:tr>
      <w:tr>
        <w:tblPrEx/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center"/>
            </w:pPr>
          </w:p>
        </w:tc>
      </w:tr>
      <w:tr>
        <w:tblPrEx/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center"/>
            </w:pPr>
          </w:p>
        </w:tc>
      </w:tr>
      <w:tr>
        <w:tblPrEx/>
        <w:trPr>
          <w:trHeight w:val="69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center"/>
            </w:pPr>
          </w:p>
        </w:tc>
      </w:tr>
      <w:tr>
        <w:tblPrEx/>
        <w:trPr>
          <w:trHeight w:val="702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 xml:space="preserve"> </w:t>
            </w:r>
            <w:r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    经贸   </w:t>
            </w:r>
            <w: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教学部</w:t>
            </w:r>
          </w:p>
        </w:tc>
      </w:tr>
      <w:tr>
        <w:tblPrEx/>
        <w:trPr>
          <w:trHeight w:val="702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专业</w:t>
            </w:r>
            <w:r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舞蹈    </w:t>
            </w:r>
            <w: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班级</w:t>
            </w:r>
            <w:r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   22计1  22计2  22计3  22计5  22会计  22电商</w:t>
            </w:r>
          </w:p>
        </w:tc>
      </w:tr>
      <w:tr>
        <w:tblPrEx/>
        <w:trPr>
          <w:trHeight w:val="72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任课教师</w:t>
            </w:r>
            <w:r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        刘群   </w:t>
            </w:r>
            <w:r>
              <w:rPr>
                <w:b w:val="1"/>
                <w:bCs w:val="1"/>
                <w:kern w:val="0"/>
                <w:sz w:val="12"/>
                <w:szCs w:val="12"/>
                <w:rFonts w:ascii="宋体" w:hAnsi="宋体" w:eastAsia="宋体" w:cs="宋体" w:hint="eastAsia"/>
              </w:rPr>
              <w:t>.</w:t>
            </w:r>
          </w:p>
        </w:tc>
      </w:tr>
      <w:tr>
        <w:tblPrEx/>
        <w:trPr>
          <w:trHeight w:val="312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</w:p>
        </w:tc>
      </w:tr>
      <w:tr>
        <w:tblPrEx/>
        <w:trPr>
          <w:trHeight w:val="78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left"/>
            </w:pPr>
          </w:p>
        </w:tc>
      </w:tr>
      <w:tr>
        <w:tblPrEx/>
        <w:trPr>
          <w:trHeight w:val="66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left"/>
            </w:pPr>
          </w:p>
        </w:tc>
      </w:tr>
      <w:tr>
        <w:tblPrEx/>
        <w:trPr>
          <w:trHeight w:val="1305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 xml:space="preserve">                 2023年2 月  8日</w:t>
            </w:r>
          </w:p>
        </w:tc>
      </w:tr>
      <w:tr>
        <w:tblPrEx/>
        <w:trPr>
          <w:trHeight w:val="1065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</w:p>
        </w:tc>
      </w:tr>
      <w:tr>
        <w:tblPrEx/>
        <w:trPr>
          <w:trHeight w:val="4485" w:hRule="atLeast"/>
        </w:trPr>
        <w:tc>
          <w:tcPr>
            <w:tcW w:w="10490" w:type="dxa"/>
            <w:tcBorders>
              <w:top w:val="single" w:color="auto" w:sz="4" w:space="0" w:shadow="off" w:frame="off"/>
              <w:left w:val="single" w:color="auto" w:sz="4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一、教学目标：</w:t>
            </w: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(目的要求、质量标准)</w:t>
            </w:r>
          </w:p>
          <w:p>
            <w:pPr>
              <w:pStyle w:val="style0"/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  <w:t>     1.以审美教育为核心，培养学生健康的审美情趣和感受、体验、鉴赏音乐美的能力，树立正确的审美观念。</w:t>
            </w:r>
          </w:p>
          <w:p>
            <w:pPr>
              <w:pStyle w:val="style0"/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  <w:t>     
2、突出艺术学科特点，寓思想品德教育于音乐教育之中，陶冶情操，提高修养。
</w:t>
            </w:r>
          </w:p>
          <w:p>
            <w:pPr>
              <w:pStyle w:val="style0"/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  <w:t>      3、在九年义务教育的基础上，进一步增强学生对音乐的爱好与爱好，把握必要的音乐知识与欣赏方法，开阔视野，启迪聪明，促进学生身心全面健康发展。
</w:t>
            </w:r>
          </w:p>
        </w:tc>
      </w:tr>
      <w:tr>
        <w:tblPrEx/>
        <w:trPr>
          <w:trHeight w:val="4410" w:hRule="atLeast"/>
        </w:trPr>
        <w:tc>
          <w:tcPr>
            <w:tcW w:w="10490" w:type="dxa"/>
            <w:tcBorders>
              <w:top w:val="nil" w:shadow="off" w:frame="off"/>
              <w:left w:val="single" w:color="auto" w:sz="4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二、学情分析</w:t>
            </w: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：</w:t>
            </w:r>
          </w:p>
          <w:p>
            <w:pPr>
              <w:pStyle w:val="style0"/>
              <w:rPr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kern w:val="0"/>
                <w:sz w:val="32"/>
                <w:szCs w:val="32"/>
                <w:rFonts w:ascii="宋体" w:hAnsi="宋体" w:eastAsia="宋体" w:cs="宋体"/>
              </w:rPr>
              <w:t>    音乐欣赏教学应以聆听音乐为主，引导学生在情感体验的基础上对音乐作品进行分析、比较与评价，使他们在欣赏音乐的实践活动中熟悉、理解、鉴赏音乐。</w:t>
            </w:r>
          </w:p>
          <w:p>
            <w:pPr>
              <w:pStyle w:val="style0"/>
              <w:rPr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kern w:val="0"/>
                <w:sz w:val="32"/>
                <w:szCs w:val="32"/>
                <w:rFonts w:ascii="宋体" w:hAnsi="宋体" w:eastAsia="宋体" w:cs="宋体"/>
              </w:rPr>
              <w:t>    
1、调动学生的学习积极性，使他们主动地参与音乐审美活动。
1/4
         </w:t>
            </w:r>
          </w:p>
          <w:p>
            <w:pPr>
              <w:pStyle w:val="style0"/>
              <w:rPr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kern w:val="0"/>
                <w:sz w:val="32"/>
                <w:szCs w:val="32"/>
                <w:rFonts w:ascii="宋体" w:hAnsi="宋体" w:eastAsia="宋体" w:cs="宋体"/>
              </w:rPr>
              <w:t>    2、利用各种现代化的、直观性的音乐教具与学具，最大限度地强化学生的听觉审美感受。</w:t>
            </w:r>
          </w:p>
          <w:p>
            <w:pPr>
              <w:pStyle w:val="style0"/>
              <w:rPr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kern w:val="0"/>
                <w:sz w:val="32"/>
                <w:szCs w:val="32"/>
                <w:rFonts w:ascii="宋体" w:hAnsi="宋体" w:eastAsia="宋体" w:cs="宋体"/>
              </w:rPr>
              <w:t>
    3、课堂欣赏教学与课外欣赏活动（音乐会、音乐欣赏讲座、教师推荐的音乐作品录音等）有机地结合，充分发挥欣赏教学对课外欣赏活动的指导作用。
</w:t>
            </w:r>
          </w:p>
        </w:tc>
      </w:tr>
      <w:tr>
        <w:tblPrEx/>
        <w:trPr>
          <w:trHeight w:val="4680" w:hRule="atLeast"/>
        </w:trPr>
        <w:tc>
          <w:tcPr>
            <w:tcW w:w="10490" w:type="dxa"/>
            <w:tcBorders>
              <w:top w:val="nil" w:shadow="off" w:frame="off"/>
              <w:left w:val="single" w:color="auto" w:sz="4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三、教材分析：</w:t>
            </w:r>
          </w:p>
          <w:p>
            <w:pPr>
              <w:pStyle w:val="style0"/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  <w:t>     在九年义务教育的基础上，进一步增强学生对音乐的爱好与爱好，把握必要的音乐知识与欣赏方法，开阔视野，启迪聪明，促进学生身心全面健康发展。
</w:t>
            </w:r>
          </w:p>
        </w:tc>
      </w:tr>
    </w:tbl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tbl>
      <w:tblPr>
        <w:tblW w:w="10485" w:type="dxa"/>
        <w:tblInd w:type="dxa" w:w="0"/>
        <w:tblLook w:noVBand="1" w:noHBand="0" w:lastColumn="0" w:firstColumn="1" w:lastRow="0" w:firstRow="1" w:val="04A0"/>
      </w:tblPr>
      <w:tblGrid>
        <w:gridCol w:w="10466"/>
      </w:tblGrid>
      <w:tr>
        <w:trPr>
          <w:trHeight w:val="4635" w:hRule="atLeast"/>
        </w:trPr>
        <w:tc>
          <w:tcPr>
            <w:tcW w:w="10485" w:type="dxa"/>
            <w:tcBorders>
              <w:top w:val="single" w:color="auto" w:sz="4" w:space="0" w:shadow="off" w:frame="off"/>
              <w:left w:val="single" w:color="auto" w:sz="4" w:space="0" w:shadow="off" w:frame="off"/>
              <w:bottom w:val="nil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四、教学重点难点：</w:t>
            </w:r>
          </w:p>
          <w:p>
            <w:pPr>
              <w:pStyle w:val="style0"/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  <w:t>     在教学过程中，学生对作品结构的深入分析，会出现一定的难度而略感乏味，但作为一节音乐鉴赏课，教师有责任和义务进行必要的讲解，如此，才能不断培养学生音乐素养和鉴赏能力</w:t>
            </w:r>
          </w:p>
        </w:tc>
      </w:tr>
      <w:tr>
        <w:tblPrEx/>
        <w:trPr>
          <w:trHeight w:val="8190" w:hRule="atLeast"/>
        </w:trPr>
        <w:tc>
          <w:tcPr>
            <w:tcW w:w="10485" w:type="dxa"/>
            <w:tcBorders>
              <w:top w:val="single" w:color="auto" w:sz="4" w:space="0" w:shadow="off" w:frame="off"/>
              <w:left w:val="single" w:color="auto" w:sz="4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五、教学方法及采取措施：</w:t>
            </w:r>
          </w:p>
          <w:p>
            <w:pPr>
              <w:pStyle w:val="style0"/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  <w:t>    教学措施
面向全体学生，注重个性发展，重视音乐实践，增强创造意识
</w:t>
            </w:r>
          </w:p>
          <w:p>
            <w:pPr>
              <w:pStyle w:val="style0"/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  <w:t>     1、强化治理，突出重点，抓住高考生命线</w:t>
            </w:r>
          </w:p>
          <w:p>
            <w:pPr>
              <w:pStyle w:val="style0"/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  <w:t>     2、树立坚定的事业心，虚心好学，努力提高专业水平</w:t>
            </w:r>
          </w:p>
          <w:p>
            <w:pPr>
              <w:pStyle w:val="style0"/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  <w:t>    
3、加强教研教改，注重教学方法，努力提高教学质量
</w:t>
            </w:r>
          </w:p>
          <w:p>
            <w:pPr>
              <w:pStyle w:val="style0"/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  <w:t>     4、加强合作，优势互补，共同提高四教学内容
1、欣赏民歌、艺术歌曲、说唱音乐、戏曲音乐、歌剧、舞剧音乐、器乐曲、室内乐、交响音乐等音乐
作品。介绍有关音乐常识。
2、通过欣赏音乐，使学生了解音乐的节奏、旋律</w:t>
            </w:r>
          </w:p>
          <w:p>
            <w:pPr/>
          </w:p>
        </w:tc>
      </w:tr>
      <w:tr>
        <w:tblPrEx/>
        <w:trPr>
          <w:trHeight w:val="540" w:hRule="atLeast"/>
        </w:trPr>
        <w:tc>
          <w:tcPr>
            <w:tcW w:w="10485" w:type="dxa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附：学 期 授 课 计 划 表</w:t>
            </w:r>
          </w:p>
        </w:tc>
      </w:tr>
    </w:tbl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>
          <w:b w:val="1"/>
          <w:sz w:val="44"/>
          <w:rFonts w:hint="eastAsia"/>
        </w:rPr>
        <w:jc w:val="center"/>
      </w:pPr>
      <w:r>
        <w:rPr>
          <w:b w:val="1"/>
          <w:sz w:val="44"/>
          <w:rFonts w:hint="eastAsia"/>
        </w:rPr>
        <w:t>学</w:t>
      </w:r>
      <w:r>
        <w:rPr>
          <w:b w:val="1"/>
          <w:sz w:val="44"/>
        </w:rPr>
        <w:t xml:space="preserve"> 期 授 课 计 划 表</w:t>
      </w:r>
    </w:p>
    <w:p>
      <w:pPr>
        <w:pStyle w:val="style0"/>
        <w:rPr>
          <w:rFonts w:hint="eastAsia"/>
        </w:rPr>
      </w:pPr>
    </w:p>
    <w:tbl>
      <w:tblPr>
        <w:tblW w:w="10480" w:type="dxa"/>
        <w:tblInd w:type="dxa" w:w="0"/>
        <w:tblLook w:noVBand="1" w:noHBand="0" w:lastColumn="0" w:firstColumn="1" w:lastRow="0" w:firstRow="1" w:val="04A0"/>
      </w:tblPr>
      <w:tblGrid>
        <w:gridCol w:w="840"/>
        <w:gridCol w:w="2060"/>
        <w:gridCol w:w="3932"/>
        <w:gridCol w:w="2476"/>
        <w:gridCol w:w="600"/>
        <w:gridCol w:w="560"/>
      </w:tblGrid>
      <w:tr>
        <w:trPr>
          <w:trHeight w:val="801" w:hRule="atLeast"/>
        </w:trPr>
        <w:tc>
          <w:tcPr>
            <w:tcW w:w="840" w:type="dxa"/>
            <w:vAlign w:val="center"/>
            <w:tcBorders>
              <w:top w:val="single" w:color="auto" w:sz="8" w:space="0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/>
              </w:rPr>
              <w:jc w:val="center"/>
            </w:pPr>
            <w: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周次</w:t>
            </w:r>
          </w:p>
        </w:tc>
        <w:tc>
          <w:tcPr>
            <w:tcW w:w="206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时间</w:t>
            </w:r>
          </w:p>
        </w:tc>
        <w:tc>
          <w:tcPr>
            <w:tcW w:w="394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授课章节及内容提要</w:t>
            </w:r>
          </w:p>
        </w:tc>
        <w:tc>
          <w:tcPr>
            <w:tcW w:w="248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重点和难点</w:t>
            </w:r>
          </w:p>
        </w:tc>
        <w:tc>
          <w:tcPr>
            <w:tcW w:w="60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课时</w:t>
            </w:r>
          </w:p>
        </w:tc>
        <w:tc>
          <w:tcPr>
            <w:tcW w:w="56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备注</w:t>
            </w: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2.06--2.10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音乐鉴赏基础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我和我的祖国</w:t>
            </w:r>
          </w:p>
        </w:tc>
        <w:tc>
          <w:tcPr>
            <w:tcW w:w="60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1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hideMark/>
          </w:tcPr>
          <w:p>
            <w:pPr>
              <w:pStyle w:val="style0"/>
              <w:rPr>
                <w:kern w:val="0"/>
                <w:sz w:val="18"/>
                <w:szCs w:val="18"/>
                <w:rFonts w:ascii="楷体_GB2312" w:hAnsi="宋体" w:eastAsia="楷体_GB2312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2.13--2.17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中国民歌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民歌特点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3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2.20--2.24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外国歌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歌曲特点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4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2.27--3.03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中国艺术歌曲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中国艺术歌曲特点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5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3.06--3.10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外国艺术歌曲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外国艺术歌曲特点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6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3.13--3.17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中国民族器乐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不同民族器乐特点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7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3.20--3.24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民族器乐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不同民族器乐音色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8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3.27--3.31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民族器乐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器乐演奏不同的音乐情绪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9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4.03--4.07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外国器乐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钢琴曲  单簧管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清明节</w:t>
            </w: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10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4.10--4.14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外国器乐交响乐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交响乐形式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t xml:space="preserve"> </w:t>
            </w: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11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4.17--4.21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所有曲目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音乐形式  情绪  情感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期中考试</w:t>
            </w: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12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4.24--4.28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中国戏曲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京剧豫剧昆曲黄梅戏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13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5.01--5.05</w:t>
            </w:r>
          </w:p>
        </w:tc>
        <w:tc>
          <w:tcPr>
            <w:tcW w:w="7580" w:type="dxa"/>
            <w:gridSpan w:val="4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000000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5.1假期</w:t>
            </w: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14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5.08--5.12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jc w:val="left"/>
            </w:pPr>
            <w: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t>中国曲艺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棒子  京韵大鼓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15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5.15--5.19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jc w:val="left"/>
            </w:pPr>
            <w: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t>中国歌剧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中通歌剧艺术表达情感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single" w:color="auto" w:sz="4" w:space="0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16</w:t>
            </w:r>
          </w:p>
        </w:tc>
        <w:tc>
          <w:tcPr>
            <w:tcW w:w="2060" w:type="dxa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5.22--5.26</w:t>
            </w:r>
          </w:p>
          <w:bookmarkStart w:id="0" w:name="_GoBack"/>
          <w:bookmarkEnd w:id="0"/>
        </w:tc>
        <w:tc>
          <w:tcPr>
            <w:tcW w:w="3940" w:type="dxa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jc w:val="left"/>
            </w:pPr>
            <w: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t>外国歌剧</w:t>
            </w:r>
          </w:p>
        </w:tc>
        <w:tc>
          <w:tcPr>
            <w:tcW w:w="2480" w:type="dxa"/>
            <w:vAlign w:val="bottom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外国歌剧艺术</w:t>
            </w:r>
          </w:p>
        </w:tc>
        <w:tc>
          <w:tcPr>
            <w:tcW w:w="600" w:type="dxa"/>
            <w:vAlign w:val="bottom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val="en-US"/>
                <w:rFonts w:ascii="宋体" w:hAnsi="宋体" w:eastAsia="宋体" w:cs="宋体" w:hint="default"/>
              </w:rPr>
              <w:t>2</w:t>
            </w:r>
          </w:p>
        </w:tc>
        <w:tc>
          <w:tcPr>
            <w:tcW w:w="560" w:type="dxa"/>
            <w:vAlign w:val="bottom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17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5.29--6.02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流行歌曲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国的旋律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val="en-US"/>
                <w:rFonts w:ascii="宋体" w:hAnsi="宋体" w:eastAsia="宋体" w:cs="宋体" w:hint="default"/>
              </w:rPr>
              <w:t>2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18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6.05--6.09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舞蹈音乐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赞歌  反弹琵琶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val="en-US"/>
                <w:rFonts w:ascii="宋体" w:hAnsi="宋体" w:eastAsia="宋体" w:cs="宋体" w:hint="default"/>
              </w:rPr>
              <w:t>2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19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6.12--6.16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舞蹈音乐</w:t>
            </w:r>
          </w:p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鼓舞鉴赏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val="en-US"/>
                <w:rFonts w:ascii="宋体" w:hAnsi="宋体" w:eastAsia="宋体" w:cs="宋体" w:hint="default"/>
              </w:rPr>
              <w:t>2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20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6.19--6.23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音乐鉴赏课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音乐的形式  表达思想  情绪情感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lang w:val="en-US"/>
                <w:rFonts w:ascii="宋体" w:hAnsi="宋体" w:eastAsia="宋体" w:cs="宋体" w:hint="default"/>
              </w:rPr>
              <w:t>2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21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6.26--6.30</w:t>
            </w:r>
          </w:p>
        </w:tc>
        <w:tc>
          <w:tcPr>
            <w:tcW w:w="6420" w:type="dxa"/>
            <w:gridSpan w:val="2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期末复习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22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7.03--7.07</w:t>
            </w:r>
          </w:p>
        </w:tc>
        <w:tc>
          <w:tcPr>
            <w:tcW w:w="6420" w:type="dxa"/>
            <w:gridSpan w:val="2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期末考试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8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23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8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pStyle w:val="style0"/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7.10--7.12</w:t>
            </w:r>
          </w:p>
        </w:tc>
        <w:tc>
          <w:tcPr>
            <w:tcW w:w="6420" w:type="dxa"/>
            <w:gridSpan w:val="2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8" w:space="0" w:shadow="off" w:frame="off"/>
              <w:right w:val="single" w:color="auto" w:sz="4" w:space="0" w:shadow="off" w:frame="off"/>
            </w:tcBorders>
            <w:shd w:val="clear" w:color="auto" w:fill="auto"/>
            <w:hideMark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成绩分析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8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8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>
            <w:pPr>
              <w:pStyle w:val="style0"/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</w:tbl>
    <w:p>
      <w:pPr>
        <w:pStyle w:val="style0"/>
        <w:rPr>
          <w:rFonts w:hint="eastAsia"/>
        </w:rPr>
      </w:pPr>
    </w:p>
    <w:sectPr>
      <w:docGrid w:type="lines" w:linePitch="312"/>
      <w:pgSz w:w="11906" w:h="16838" w:orient="portrait"/>
      <w:pgMar w:top="720" w:right="720" w:bottom="720" w:left="720" w:header="851" w:footer="992" w:gutter="0"/>
      <w:cols w:space="425"/>
    </w:sectPr>
  </w:body>
</w:document>
</file>

<file path=word/fontTable.xml><?xml version="1.0" encoding="utf-8"?>
<w:fonts xmlns:w="http://schemas.openxmlformats.org/wordprocessingml/2006/main" xmlns:w14="http://schemas.microsoft.com/office/word/2010/wordml" xmlns:r="http://schemas.openxmlformats.org/officeDocument/2006/relationships" xmlns:mc="http://schemas.openxmlformats.org/markup-compatibility/2006" mc:Ignorable="w14">
  <w:font w:name="等线">
    <w:altName w:val="DengXian"/>
    <w:panose1 w:val="02010600030001010101"/>
    <w:charset w:val="86"/>
    <w:family w:val="auto"/>
    <w:pitch w:val="variable"/>
    <w:sig w:usb0="A00002BF" w:usb1="38CF7CFA" w:usb2="00000016" w:usb3="00000000" w:csb0="0004000F" w:csb1="00000000"/>
  </w:font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_GB2312"/>
    <w:panose1 w:val="020106090300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等线 Light"/>
    <w:panose1 w:val="020106000300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="http://schemas.openxmlformats.org/officeDocument/2006/math" xmlns:r="http://schemas.openxmlformats.org/officeDocument/2006/relationships" xmlns:w="http://schemas.openxmlformats.org/wordprocessingml/2006/main">
  <w:bordersDoNotSurroundHeader/>
  <w:bordersDoNotSurroundFooter/>
  <w:proofState w:grammar="clean" w:spelling="clean"/>
  <w:defaultTabStop w:val="420"/>
  <w:drawingGridVerticalSpacing w:val="156"/>
  <w:drawingGridHorizontalSpacing w:val="105"/>
  <w:displayHorizontalDrawingGridEvery w:val="0"/>
  <w:displayVerticalDrawingGridEvery w:val="2"/>
  <w:characterSpacingControl w:val="compressPunctuation"/>
  <w:zoom w:percent="130"/>
  <w:compat>
    <w:spaceForUL/>
    <w:balanceSingleByteDoubleByteWidth/>
    <w:doNotLeaveBackslashAlone/>
    <w:ulTrailSpace/>
    <w:doNotExpandShiftReturn/>
    <w:adjustLineHeightInTable/>
    <w:useFELayout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  <w:compatSetting w:val="0" w:uri="http://schemas.microsoft.com/office/word" w:name="useWord2013TrackBottomHyphenation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14="http://schemas.microsoft.com/office/word/2010/wordml" xmlns:w="http://schemas.openxmlformats.org/wordprocessingml/2006/main" xmlns:mc="http://schemas.openxmlformats.org/markup-compatibility/2006" mc:Ignorable="w14">
  <w:docDefaults>
    <w:pPrDefault/>
    <w:pPrDefault>
      <w:pPr/>
    </w:pPrDefault>
  </w:docDefaults>
  <w:style w:type="paragraph" w:styleId="style0" w:default="1">
    <w:name w:val="Normal"/>
    <w:qFormat/>
    <w:pPr>
      <w:widowControl w:val="false"/>
      <w:jc w:val="both"/>
    </w:pPr>
    <w:rPr/>
  </w:style>
  <w:style w:type="character" w:styleId="style65" w:default="1">
    <w:name w:val="Default Paragraph Font"/>
    <w:uiPriority w:val="1"/>
  </w:style>
  <w:style w:type="table" w:styleId="style105" w:default="1">
    <w:name w:val="Normal Table"/>
    <w:uiPriority w:val="99"/>
    <w:pPr/>
    <w:rPr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type="numbering" w:styleId="style107" w:default="1">
    <w:name w:val="No List"/>
    <w:uiPriority w:val="99"/>
    <w:pPr/>
  </w:style>
</w:styles>
</file>

<file path=word/_rels/document.xml.rels><?xml version="1.0" encoding="UTF-8" standalone="yes"?><Relationships xmlns="http://schemas.openxmlformats.org/package/2006/relationships"><Relationship Id="rId4" Type="http://schemas.openxmlformats.org/officeDocument/2006/relationships/image" Target="media/image1.png" /><Relationship Id="rId3" Type="http://schemas.openxmlformats.org/officeDocument/2006/relationships/theme" Target="theme/theme1.xml" /><Relationship Id="rId1" Type="http://schemas.openxmlformats.org/officeDocument/2006/relationships/settings" Target="settings.xml" /><Relationship Id="rId2" Type="http://schemas.openxmlformats.org/officeDocument/2006/relationships/fontTable" Target="fontTable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Times New Roman" script="Viet"/>
        <a:font typeface="Sylfaen" script="Geor"/>
        <a:font typeface="Iskoola Pota" script="Sinh"/>
        <a:font typeface="DokChampa" script="Laoo"/>
        <a:font typeface="Kalinga" script="Orya"/>
        <a:font typeface="Mongolian Baiti" script="Mong"/>
        <a:font typeface="Kartika" script="Mlym"/>
        <a:font typeface="맑은 고딕" script="Hang"/>
        <a:font typeface="Gautami" script="Telu"/>
        <a:font typeface="Mangal" script="Deva"/>
        <a:font typeface="Microsoft Himalaya" script="Tibt"/>
        <a:font typeface="Euphemia" script="Cans"/>
        <a:font typeface="MoolBoran" script="Khmr"/>
        <a:font typeface="Estrangelo Edessa" script="Syrc"/>
        <a:font typeface="Angsana New" script="Thai"/>
        <a:font typeface="Shruti" script="Gujr"/>
        <a:font typeface="Microsoft Uighur" script="Uigh"/>
        <a:font typeface="Vrinda" script="Beng"/>
        <a:font typeface="ＭＳ ゴシック" script="Jpan"/>
        <a:font typeface="MV Boli" script="Thaa"/>
        <a:font typeface="Plantagenet Cherokee" script="Cher"/>
        <a:font typeface="Times New Roman" script="Hebr"/>
        <a:font typeface="Microsoft Yi Baiti" script="Yiii"/>
        <a:font typeface="Raavi" script="Guru"/>
        <a:font typeface="宋体" script="Hans"/>
        <a:font typeface="Nyala" script="Ethi"/>
        <a:font typeface="Latha" script="Taml"/>
        <a:font typeface="Tunga" script="Knda"/>
        <a:font typeface="Times New Roman" script="Arab"/>
        <a:font typeface="新細明體" script="Hant"/>
      </a:majorFont>
      <a:minorFont>
        <a:latin typeface="Calibri"/>
        <a:ea typeface=""/>
        <a:cs typeface=""/>
        <a:font typeface="Arial" script="Viet"/>
        <a:font typeface="Sylfaen" script="Geor"/>
        <a:font typeface="Iskoola Pota" script="Sinh"/>
        <a:font typeface="DokChampa" script="Laoo"/>
        <a:font typeface="Kalinga" script="Orya"/>
        <a:font typeface="Mongolian Baiti" script="Mong"/>
        <a:font typeface="Kartika" script="Mlym"/>
        <a:font typeface="맑은 고딕" script="Hang"/>
        <a:font typeface="Gautami" script="Telu"/>
        <a:font typeface="Mangal" script="Deva"/>
        <a:font typeface="Microsoft Himalaya" script="Tibt"/>
        <a:font typeface="Euphemia" script="Cans"/>
        <a:font typeface="DaunPenh" script="Khmr"/>
        <a:font typeface="Estrangelo Edessa" script="Syrc"/>
        <a:font typeface="Cordia New" script="Thai"/>
        <a:font typeface="Shruti" script="Gujr"/>
        <a:font typeface="Microsoft Uighur" script="Uigh"/>
        <a:font typeface="Vrinda" script="Beng"/>
        <a:font typeface="ＭＳ 明朝" script="Jpan"/>
        <a:font typeface="MV Boli" script="Thaa"/>
        <a:font typeface="Plantagenet Cherokee" script="Cher"/>
        <a:font typeface="Arial" script="Hebr"/>
        <a:font typeface="Microsoft Yi Baiti" script="Yiii"/>
        <a:font typeface="Raavi" script="Guru"/>
        <a:font typeface="宋体" script="Hans"/>
        <a:font typeface="Nyala" script="Ethi"/>
        <a:font typeface="Latha" script="Taml"/>
        <a:font typeface="Tunga" script="Knda"/>
        <a:font typeface="Arial" script="Arab"/>
        <a:font typeface="新細明體" script="Hant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scaled="0" ang="1620000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31</TotalTime>
  <Pages>5</Pages>
  <Words>1515</Words>
  <Characters>1770</Characters>
  <Application>WPS Office</Application>
  <DocSecurity>0</DocSecurity>
  <Lines>0</Lines>
  <Paragraphs>234</Paragraphs>
  <ScaleCrop>false</ScaleCrop>
  <Company/>
  <LinksUpToDate>false</LinksUpToDate>
  <CharactersWithSpaces>1914</CharactersWithSpaces>
  <SharedDoc>false</SharedDoc>
  <HyperlinksChanged>false</HyperlinksChanged>
  <AppVersion>16.000</AppVersion>
</Properties>
</file>

<file path=docProps/core.xml><?xml version="1.0" encoding="utf-8"?>
<cp:coreProperties xmlns:xsi="http://www.w3.org/2001/XMLSchema-instance" xmlns:dcterms="http://purl.org/dc/terms/" xmlns:cp="http://schemas.openxmlformats.org/package/2006/metadata/core-properties" xmlns:dc="http://purl.org/dc/elements/1.1/" xmlns:dcmitype="http://purl.org/dc/dcmitype/">
  <dc:title/>
  <dc:subject/>
  <dc:creator/>
  <cp:keywords/>
  <dc:description/>
  <cp:lastModifiedBy/>
  <cp:revision>0</cp:revision>
</cp:coreProperties>
</file>